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5E9E" w14:textId="4BBCDA3D" w:rsidR="003449B3" w:rsidRPr="00476322" w:rsidRDefault="003449B3" w:rsidP="005303FB">
      <w:pPr>
        <w:pStyle w:val="H1"/>
        <w:spacing w:line="276" w:lineRule="auto"/>
        <w:rPr>
          <w:rFonts w:ascii="Montserrat" w:hAnsi="Montserrat" w:cs="Montserrat"/>
          <w:b/>
          <w:bCs w:val="0"/>
          <w:color w:val="3E5460"/>
          <w:sz w:val="28"/>
          <w:szCs w:val="28"/>
        </w:rPr>
      </w:pPr>
      <w:r w:rsidRPr="00476322">
        <w:rPr>
          <w:rFonts w:ascii="Montserrat" w:hAnsi="Montserrat" w:cs="Montserrat"/>
          <w:b/>
          <w:bCs w:val="0"/>
          <w:color w:val="3E5460"/>
          <w:sz w:val="28"/>
          <w:szCs w:val="28"/>
        </w:rPr>
        <w:t>Budget Forms</w:t>
      </w:r>
    </w:p>
    <w:p w14:paraId="65DB87E7" w14:textId="28BA4B59" w:rsidR="00093B50" w:rsidRPr="00476322" w:rsidRDefault="00093B50" w:rsidP="005303FB">
      <w:pPr>
        <w:pStyle w:val="H1"/>
        <w:spacing w:line="276" w:lineRule="auto"/>
        <w:rPr>
          <w:rFonts w:ascii="Montserrat" w:hAnsi="Montserrat" w:cs="Montserrat"/>
          <w:color w:val="3E5460"/>
          <w:sz w:val="24"/>
          <w:szCs w:val="24"/>
        </w:rPr>
      </w:pPr>
      <w:r w:rsidRPr="00476322">
        <w:rPr>
          <w:rFonts w:ascii="Montserrat" w:hAnsi="Montserrat" w:cs="Montserrat"/>
          <w:b/>
          <w:bCs w:val="0"/>
          <w:color w:val="3E5460"/>
          <w:sz w:val="24"/>
          <w:szCs w:val="24"/>
        </w:rPr>
        <w:t>Budget Form 1: 2024 CCEIS BUDGET ALLOCATION</w:t>
      </w:r>
    </w:p>
    <w:p w14:paraId="31F9A72C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  <w:r w:rsidRPr="00476322">
        <w:rPr>
          <w:rFonts w:ascii="Montserrat" w:hAnsi="Montserrat"/>
          <w:sz w:val="20"/>
          <w:szCs w:val="20"/>
        </w:rPr>
        <w:t>Provide the Fiscal Year 2023–24 allocation awarded for Resource Codes 3310 and 3315:</w:t>
      </w:r>
    </w:p>
    <w:p w14:paraId="518F1F4C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tbl>
      <w:tblPr>
        <w:tblW w:w="10800" w:type="dxa"/>
        <w:tblInd w:w="-5" w:type="dxa"/>
        <w:tblBorders>
          <w:top w:val="single" w:sz="4" w:space="0" w:color="5A799C"/>
          <w:left w:val="single" w:sz="4" w:space="0" w:color="5A799C"/>
          <w:bottom w:val="single" w:sz="4" w:space="0" w:color="5A799C"/>
          <w:right w:val="single" w:sz="4" w:space="0" w:color="5A799C"/>
          <w:insideH w:val="single" w:sz="4" w:space="0" w:color="5A799C"/>
          <w:insideV w:val="single" w:sz="4" w:space="0" w:color="5A79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7"/>
        <w:gridCol w:w="5543"/>
      </w:tblGrid>
      <w:tr w:rsidR="00093B50" w:rsidRPr="00476322" w14:paraId="4F3CFA90" w14:textId="77777777" w:rsidTr="005303FB">
        <w:trPr>
          <w:trHeight w:val="480"/>
        </w:trPr>
        <w:tc>
          <w:tcPr>
            <w:tcW w:w="5257" w:type="dxa"/>
            <w:tcBorders>
              <w:bottom w:val="single" w:sz="4" w:space="0" w:color="243B5B"/>
            </w:tcBorders>
            <w:shd w:val="clear" w:color="auto" w:fill="E2EFD9" w:themeFill="accent6" w:themeFillTint="33"/>
            <w:vAlign w:val="center"/>
          </w:tcPr>
          <w:p w14:paraId="7AB0780E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2023 Resource 3310 Allocation</w:t>
            </w:r>
          </w:p>
        </w:tc>
        <w:tc>
          <w:tcPr>
            <w:tcW w:w="5543" w:type="dxa"/>
            <w:tcBorders>
              <w:top w:val="single" w:sz="4" w:space="0" w:color="243B5B"/>
              <w:bottom w:val="single" w:sz="4" w:space="0" w:color="243B5B"/>
            </w:tcBorders>
            <w:shd w:val="clear" w:color="auto" w:fill="E2EFD9" w:themeFill="accent6" w:themeFillTint="33"/>
            <w:vAlign w:val="center"/>
          </w:tcPr>
          <w:p w14:paraId="5EFA9BEF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2023 Resource 3315 Allocation</w:t>
            </w:r>
          </w:p>
        </w:tc>
      </w:tr>
      <w:tr w:rsidR="00093B50" w:rsidRPr="00476322" w14:paraId="6C1CAE6D" w14:textId="77777777" w:rsidTr="005303FB">
        <w:trPr>
          <w:trHeight w:val="624"/>
        </w:trPr>
        <w:tc>
          <w:tcPr>
            <w:tcW w:w="5257" w:type="dxa"/>
            <w:tcBorders>
              <w:bottom w:val="single" w:sz="4" w:space="0" w:color="243B5B"/>
            </w:tcBorders>
            <w:vAlign w:val="center"/>
          </w:tcPr>
          <w:p w14:paraId="71653EE0" w14:textId="6EA0618D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 xml:space="preserve"> $</w:t>
            </w:r>
          </w:p>
        </w:tc>
        <w:tc>
          <w:tcPr>
            <w:tcW w:w="5543" w:type="dxa"/>
            <w:tcBorders>
              <w:top w:val="single" w:sz="4" w:space="0" w:color="243B5B"/>
              <w:bottom w:val="single" w:sz="4" w:space="0" w:color="243B5B"/>
            </w:tcBorders>
            <w:vAlign w:val="center"/>
          </w:tcPr>
          <w:p w14:paraId="542A0C0A" w14:textId="19CB60AD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 xml:space="preserve"> $</w:t>
            </w:r>
          </w:p>
        </w:tc>
      </w:tr>
    </w:tbl>
    <w:p w14:paraId="235C80CA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p w14:paraId="6938DBE7" w14:textId="76ADCD02" w:rsidR="00093B50" w:rsidRPr="00476322" w:rsidRDefault="00093B50" w:rsidP="005303FB">
      <w:pPr>
        <w:rPr>
          <w:rFonts w:ascii="Montserrat" w:hAnsi="Montserrat"/>
          <w:sz w:val="20"/>
          <w:szCs w:val="20"/>
        </w:rPr>
      </w:pPr>
      <w:r w:rsidRPr="00476322">
        <w:rPr>
          <w:rFonts w:ascii="Montserrat" w:hAnsi="Montserrat"/>
          <w:sz w:val="20"/>
          <w:szCs w:val="20"/>
        </w:rPr>
        <w:t>Provide the Fiscal Year 2024–25 allocation awarded for Resource Codes 3310 and 3315:  Provide the 2024 allocations the SELPA provided to the identified LEA for resource codes 3310 and 3315. The 15 percent set-aside for Comprehensive Coordinated Early Intervening Services (CCEIS) expenditures will be determined from these two resource codes.</w:t>
      </w:r>
    </w:p>
    <w:p w14:paraId="455910CC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tbl>
      <w:tblPr>
        <w:tblW w:w="10800" w:type="dxa"/>
        <w:tblInd w:w="-5" w:type="dxa"/>
        <w:tblBorders>
          <w:top w:val="single" w:sz="4" w:space="0" w:color="5A799C"/>
          <w:left w:val="single" w:sz="4" w:space="0" w:color="5A799C"/>
          <w:bottom w:val="single" w:sz="4" w:space="0" w:color="5A799C"/>
          <w:right w:val="single" w:sz="4" w:space="0" w:color="5A799C"/>
          <w:insideH w:val="single" w:sz="4" w:space="0" w:color="5A799C"/>
          <w:insideV w:val="single" w:sz="4" w:space="0" w:color="5A79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5453"/>
      </w:tblGrid>
      <w:tr w:rsidR="00093B50" w:rsidRPr="00476322" w14:paraId="2209E890" w14:textId="77777777" w:rsidTr="005303FB">
        <w:trPr>
          <w:trHeight w:val="480"/>
        </w:trPr>
        <w:tc>
          <w:tcPr>
            <w:tcW w:w="5347" w:type="dxa"/>
            <w:tcBorders>
              <w:bottom w:val="single" w:sz="4" w:space="0" w:color="243B5B"/>
            </w:tcBorders>
            <w:shd w:val="clear" w:color="auto" w:fill="E2EFD9" w:themeFill="accent6" w:themeFillTint="33"/>
            <w:vAlign w:val="center"/>
          </w:tcPr>
          <w:p w14:paraId="04E640D3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2024 Resource 3310 Allocation</w:t>
            </w:r>
          </w:p>
        </w:tc>
        <w:tc>
          <w:tcPr>
            <w:tcW w:w="5453" w:type="dxa"/>
            <w:tcBorders>
              <w:top w:val="single" w:sz="4" w:space="0" w:color="243B5B"/>
              <w:bottom w:val="single" w:sz="4" w:space="0" w:color="243B5B"/>
            </w:tcBorders>
            <w:shd w:val="clear" w:color="auto" w:fill="E2EFD9" w:themeFill="accent6" w:themeFillTint="33"/>
            <w:vAlign w:val="center"/>
          </w:tcPr>
          <w:p w14:paraId="1051828C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2024 Resource 3315 Allocation</w:t>
            </w:r>
          </w:p>
        </w:tc>
      </w:tr>
      <w:tr w:rsidR="00093B50" w:rsidRPr="00476322" w14:paraId="4EA8E5E3" w14:textId="77777777" w:rsidTr="005303FB">
        <w:trPr>
          <w:trHeight w:val="633"/>
        </w:trPr>
        <w:tc>
          <w:tcPr>
            <w:tcW w:w="5347" w:type="dxa"/>
            <w:tcBorders>
              <w:bottom w:val="single" w:sz="4" w:space="0" w:color="243B5B"/>
            </w:tcBorders>
            <w:vAlign w:val="center"/>
          </w:tcPr>
          <w:p w14:paraId="712B9C86" w14:textId="67424C4E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 xml:space="preserve"> $</w:t>
            </w:r>
          </w:p>
        </w:tc>
        <w:tc>
          <w:tcPr>
            <w:tcW w:w="5453" w:type="dxa"/>
            <w:tcBorders>
              <w:top w:val="single" w:sz="4" w:space="0" w:color="243B5B"/>
              <w:bottom w:val="single" w:sz="4" w:space="0" w:color="243B5B"/>
            </w:tcBorders>
            <w:vAlign w:val="center"/>
          </w:tcPr>
          <w:p w14:paraId="3120B412" w14:textId="21940E60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 xml:space="preserve"> $</w:t>
            </w:r>
          </w:p>
        </w:tc>
      </w:tr>
    </w:tbl>
    <w:p w14:paraId="40881D04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p w14:paraId="40CDFD57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  <w:r w:rsidRPr="00476322">
        <w:rPr>
          <w:rFonts w:ascii="Montserrat" w:hAnsi="Montserrat"/>
          <w:sz w:val="20"/>
          <w:szCs w:val="20"/>
        </w:rPr>
        <w:t>In the box below, indicate the 15 percent set aside for each of the Fiscal Year 2024–25 allocations the LEA was awarded for resource codes 3310 and 3315:</w:t>
      </w:r>
    </w:p>
    <w:p w14:paraId="397CD91C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tbl>
      <w:tblPr>
        <w:tblW w:w="10797" w:type="dxa"/>
        <w:tblBorders>
          <w:top w:val="single" w:sz="2" w:space="0" w:color="3E5460"/>
          <w:left w:val="single" w:sz="2" w:space="0" w:color="3E5460"/>
          <w:bottom w:val="single" w:sz="2" w:space="0" w:color="3E5460"/>
          <w:right w:val="single" w:sz="2" w:space="0" w:color="3E5460"/>
          <w:insideH w:val="single" w:sz="2" w:space="0" w:color="3E5460"/>
          <w:insideV w:val="single" w:sz="2" w:space="0" w:color="3E54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360"/>
        <w:gridCol w:w="3150"/>
        <w:gridCol w:w="484"/>
        <w:gridCol w:w="3746"/>
      </w:tblGrid>
      <w:tr w:rsidR="00093B50" w:rsidRPr="00476322" w14:paraId="62818856" w14:textId="77777777" w:rsidTr="002457F5">
        <w:trPr>
          <w:trHeight w:val="899"/>
        </w:trPr>
        <w:tc>
          <w:tcPr>
            <w:tcW w:w="3057" w:type="dxa"/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1CD3C" w14:textId="6AFD16A5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 xml:space="preserve">2024 </w:t>
            </w:r>
            <w:r w:rsidR="002457F5" w:rsidRPr="00476322">
              <w:rPr>
                <w:rFonts w:ascii="Montserrat" w:hAnsi="Montserrat"/>
                <w:b/>
                <w:bCs/>
                <w:sz w:val="20"/>
                <w:szCs w:val="20"/>
              </w:rPr>
              <w:t>C</w:t>
            </w: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 xml:space="preserve">CEIS Resource 3312 </w:t>
            </w:r>
          </w:p>
          <w:p w14:paraId="2B4B23E8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3312 = 15% of 3310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D3C17" w14:textId="77777777" w:rsidR="00093B50" w:rsidRPr="00476322" w:rsidRDefault="00093B50" w:rsidP="005303F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150" w:type="dxa"/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74322" w14:textId="1FD289CC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 xml:space="preserve">2024 </w:t>
            </w:r>
            <w:r w:rsidR="002457F5" w:rsidRPr="00476322">
              <w:rPr>
                <w:rFonts w:ascii="Montserrat" w:hAnsi="Montserrat"/>
                <w:b/>
                <w:bCs/>
                <w:sz w:val="20"/>
                <w:szCs w:val="20"/>
              </w:rPr>
              <w:t>C</w:t>
            </w: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CEIS Resource 3318</w:t>
            </w:r>
          </w:p>
          <w:p w14:paraId="6F071DBB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3318 = 15% of 3315</w:t>
            </w:r>
          </w:p>
        </w:tc>
        <w:tc>
          <w:tcPr>
            <w:tcW w:w="4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C797A" w14:textId="77777777" w:rsidR="00093B50" w:rsidRPr="00476322" w:rsidRDefault="00093B50" w:rsidP="005303F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3746" w:type="dxa"/>
            <w:shd w:val="clear" w:color="auto" w:fill="B4C6E7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D48EA" w14:textId="11C72491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 xml:space="preserve">Total 2024 </w:t>
            </w:r>
            <w:r w:rsidR="002457F5" w:rsidRPr="00476322">
              <w:rPr>
                <w:rFonts w:ascii="Montserrat" w:hAnsi="Montserrat"/>
                <w:b/>
                <w:bCs/>
                <w:sz w:val="20"/>
                <w:szCs w:val="20"/>
              </w:rPr>
              <w:t>C</w:t>
            </w: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CEIS Budget</w:t>
            </w:r>
          </w:p>
          <w:p w14:paraId="5902FBC5" w14:textId="77777777" w:rsidR="00093B50" w:rsidRPr="00476322" w:rsidRDefault="00093B50" w:rsidP="005303F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76322">
              <w:rPr>
                <w:rFonts w:ascii="Montserrat" w:hAnsi="Montserrat"/>
                <w:b/>
                <w:bCs/>
                <w:sz w:val="20"/>
                <w:szCs w:val="20"/>
              </w:rPr>
              <w:t>(3312 plus 3318)</w:t>
            </w:r>
          </w:p>
        </w:tc>
      </w:tr>
      <w:tr w:rsidR="00093B50" w:rsidRPr="00476322" w14:paraId="78A5A3E3" w14:textId="77777777" w:rsidTr="002457F5">
        <w:trPr>
          <w:trHeight w:val="611"/>
        </w:trPr>
        <w:tc>
          <w:tcPr>
            <w:tcW w:w="305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827EE" w14:textId="47F83D0F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>$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0A363" w14:textId="77777777" w:rsidR="00093B50" w:rsidRPr="00476322" w:rsidRDefault="00093B50" w:rsidP="005303F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>+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8E335" w14:textId="55AB2415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>$</w:t>
            </w:r>
          </w:p>
        </w:tc>
        <w:tc>
          <w:tcPr>
            <w:tcW w:w="4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144B7" w14:textId="77777777" w:rsidR="00093B50" w:rsidRPr="00476322" w:rsidRDefault="00093B50" w:rsidP="005303F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>=</w:t>
            </w:r>
          </w:p>
        </w:tc>
        <w:tc>
          <w:tcPr>
            <w:tcW w:w="374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5FFDC" w14:textId="757647BD" w:rsidR="00093B50" w:rsidRPr="00476322" w:rsidRDefault="00093B50" w:rsidP="005303FB">
            <w:pPr>
              <w:rPr>
                <w:rFonts w:ascii="Montserrat" w:hAnsi="Montserrat"/>
                <w:sz w:val="20"/>
                <w:szCs w:val="20"/>
              </w:rPr>
            </w:pPr>
            <w:r w:rsidRPr="00476322">
              <w:rPr>
                <w:rFonts w:ascii="Montserrat" w:hAnsi="Montserrat"/>
                <w:sz w:val="20"/>
                <w:szCs w:val="20"/>
              </w:rPr>
              <w:t>$</w:t>
            </w:r>
          </w:p>
        </w:tc>
      </w:tr>
    </w:tbl>
    <w:p w14:paraId="058D3D2B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p w14:paraId="16705E49" w14:textId="7A9CE6CB" w:rsidR="00093B50" w:rsidRPr="00476322" w:rsidRDefault="00093B50" w:rsidP="005303FB">
      <w:pPr>
        <w:rPr>
          <w:rFonts w:ascii="Montserrat" w:hAnsi="Montserrat"/>
          <w:sz w:val="20"/>
          <w:szCs w:val="20"/>
        </w:rPr>
      </w:pPr>
      <w:r w:rsidRPr="00476322">
        <w:rPr>
          <w:rFonts w:ascii="Montserrat" w:hAnsi="Montserrat"/>
          <w:sz w:val="20"/>
          <w:szCs w:val="20"/>
        </w:rPr>
        <w:t>The above 15 percent set-aside amounts will be the 2024-25 CCEIS allocations for resource codes 3310 (</w:t>
      </w:r>
      <w:r w:rsidR="002457F5" w:rsidRPr="00476322">
        <w:rPr>
          <w:rFonts w:ascii="Montserrat" w:hAnsi="Montserrat"/>
          <w:sz w:val="20"/>
          <w:szCs w:val="20"/>
        </w:rPr>
        <w:t>C</w:t>
      </w:r>
      <w:r w:rsidRPr="00476322">
        <w:rPr>
          <w:rFonts w:ascii="Montserrat" w:hAnsi="Montserrat"/>
          <w:sz w:val="20"/>
          <w:szCs w:val="20"/>
        </w:rPr>
        <w:t>CEIS Resource Code 3312) and 3315 (</w:t>
      </w:r>
      <w:r w:rsidR="002457F5" w:rsidRPr="00476322">
        <w:rPr>
          <w:rFonts w:ascii="Montserrat" w:hAnsi="Montserrat"/>
          <w:sz w:val="20"/>
          <w:szCs w:val="20"/>
        </w:rPr>
        <w:t>C</w:t>
      </w:r>
      <w:r w:rsidRPr="00476322">
        <w:rPr>
          <w:rFonts w:ascii="Montserrat" w:hAnsi="Montserrat"/>
          <w:sz w:val="20"/>
          <w:szCs w:val="20"/>
        </w:rPr>
        <w:t>CEIS Resource 3318) and should be expended and reported accurately in quarterly CCEIS Progress and Expenditure Reports.</w:t>
      </w:r>
    </w:p>
    <w:p w14:paraId="6FDDCAD1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</w:p>
    <w:p w14:paraId="2ABAABE3" w14:textId="77777777" w:rsidR="00093B50" w:rsidRPr="00476322" w:rsidRDefault="00093B50" w:rsidP="005303FB">
      <w:pPr>
        <w:rPr>
          <w:rFonts w:ascii="Montserrat" w:hAnsi="Montserrat"/>
          <w:sz w:val="20"/>
          <w:szCs w:val="20"/>
        </w:rPr>
      </w:pPr>
      <w:r w:rsidRPr="00476322">
        <w:rPr>
          <w:rFonts w:ascii="Montserrat" w:hAnsi="Montserrat"/>
          <w:sz w:val="20"/>
          <w:szCs w:val="20"/>
        </w:rPr>
        <w:t>Please use the Total 2024 CCEIS Budget indicated above to complete the 2024 Allowable Costs Budget form on the next page.</w:t>
      </w:r>
    </w:p>
    <w:p w14:paraId="5660F5F6" w14:textId="77777777" w:rsidR="00093B50" w:rsidRPr="00476322" w:rsidRDefault="00093B50" w:rsidP="003449B3">
      <w:pPr>
        <w:rPr>
          <w:rFonts w:ascii="Montserrat" w:hAnsi="Montserrat"/>
        </w:rPr>
      </w:pPr>
      <w:r w:rsidRPr="00476322">
        <w:rPr>
          <w:rFonts w:ascii="Montserrat" w:hAnsi="Montserrat"/>
        </w:rPr>
        <w:br w:type="page"/>
      </w:r>
    </w:p>
    <w:p w14:paraId="0F3B7BD6" w14:textId="780D5BB3" w:rsidR="00093B50" w:rsidRPr="00476322" w:rsidRDefault="00093B50" w:rsidP="003449B3">
      <w:pPr>
        <w:snapToGrid w:val="0"/>
        <w:spacing w:before="120" w:after="120"/>
        <w:rPr>
          <w:rFonts w:ascii="Montserrat" w:hAnsi="Montserrat"/>
          <w:b/>
          <w:bCs/>
        </w:rPr>
      </w:pPr>
      <w:r w:rsidRPr="00476322">
        <w:rPr>
          <w:rFonts w:ascii="Montserrat" w:hAnsi="Montserrat"/>
          <w:b/>
          <w:bCs/>
        </w:rPr>
        <w:lastRenderedPageBreak/>
        <w:t>Budget Form 2: 2024 CCEIS BUDGET ALLOWABLE COSTS</w:t>
      </w:r>
    </w:p>
    <w:p w14:paraId="780A6A40" w14:textId="2FC7BF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  <w:r w:rsidRPr="00FB438A">
        <w:rPr>
          <w:rFonts w:ascii="Montserrat" w:hAnsi="Montserrat"/>
          <w:sz w:val="18"/>
          <w:szCs w:val="18"/>
        </w:rPr>
        <w:t xml:space="preserve">Complete the table below to reflect the Total 2024 CCEIS Budget as reported on the 2024 Budget Allocation. CCEIS </w:t>
      </w:r>
      <w:r w:rsidR="008B1909" w:rsidRPr="00FB438A">
        <w:rPr>
          <w:rFonts w:ascii="Montserrat" w:hAnsi="Montserrat"/>
          <w:sz w:val="18"/>
          <w:szCs w:val="18"/>
        </w:rPr>
        <w:t xml:space="preserve">expenditures </w:t>
      </w:r>
      <w:r w:rsidRPr="00FB438A">
        <w:rPr>
          <w:rFonts w:ascii="Montserrat" w:hAnsi="Montserrat"/>
          <w:sz w:val="18"/>
          <w:szCs w:val="18"/>
        </w:rPr>
        <w:t xml:space="preserve">for 2024 must conform to the U.S. Office of Special Education Programs (OSEP) IDEA Part B Regulations Significant Disproportionality (Equity in IDEA). For detailed allowable CCEIS expenditures, please refer specifically to Questions C-3-1 through C-3-10, pages 19 through 24, on the U.S. Department of Education Web page at </w:t>
      </w:r>
      <w:hyperlink r:id="rId8" w:history="1">
        <w:r w:rsidRPr="00FB438A">
          <w:rPr>
            <w:rStyle w:val="Hyperlink"/>
            <w:rFonts w:ascii="Montserrat" w:hAnsi="Montserrat"/>
            <w:sz w:val="18"/>
            <w:szCs w:val="18"/>
          </w:rPr>
          <w:t>https://sites.ed.gov/idea/files/significant-disproportionality-qa-03-08-17-2.pdf</w:t>
        </w:r>
      </w:hyperlink>
      <w:r w:rsidRPr="00FB438A">
        <w:rPr>
          <w:rFonts w:ascii="Montserrat" w:hAnsi="Montserrat"/>
          <w:sz w:val="18"/>
          <w:szCs w:val="18"/>
        </w:rPr>
        <w:t>.</w:t>
      </w:r>
    </w:p>
    <w:p w14:paraId="429B0B37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</w:p>
    <w:p w14:paraId="510A2175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  <w:r w:rsidRPr="00FB438A">
        <w:rPr>
          <w:rFonts w:ascii="Montserrat" w:hAnsi="Montserrat"/>
          <w:sz w:val="18"/>
          <w:szCs w:val="18"/>
        </w:rPr>
        <w:t>The 2024 CCEIS period is July 1, 2024, through September 30, 2026. The CCEIS 15 percent set-aside must be fully expended by September 30, 2026.</w:t>
      </w:r>
    </w:p>
    <w:p w14:paraId="0CB2759A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</w:p>
    <w:tbl>
      <w:tblPr>
        <w:tblW w:w="10797" w:type="dxa"/>
        <w:tblBorders>
          <w:top w:val="single" w:sz="2" w:space="0" w:color="3E5460"/>
          <w:left w:val="single" w:sz="2" w:space="0" w:color="3E5460"/>
          <w:bottom w:val="single" w:sz="2" w:space="0" w:color="3E5460"/>
          <w:right w:val="single" w:sz="2" w:space="0" w:color="3E5460"/>
          <w:insideH w:val="single" w:sz="2" w:space="0" w:color="3E5460"/>
          <w:insideV w:val="single" w:sz="2" w:space="0" w:color="3E54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2294"/>
        <w:gridCol w:w="2548"/>
      </w:tblGrid>
      <w:tr w:rsidR="00093B50" w:rsidRPr="00FB438A" w14:paraId="4A80C5B6" w14:textId="77777777" w:rsidTr="005303FB">
        <w:trPr>
          <w:trHeight w:val="606"/>
          <w:tblHeader/>
        </w:trPr>
        <w:tc>
          <w:tcPr>
            <w:tcW w:w="5955" w:type="dxa"/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63E3B" w14:textId="77777777" w:rsidR="00093B50" w:rsidRPr="00FB438A" w:rsidRDefault="00093B50" w:rsidP="00D66F3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B438A">
              <w:rPr>
                <w:rFonts w:ascii="Montserrat" w:hAnsi="Montserrat"/>
                <w:b/>
                <w:bCs/>
                <w:sz w:val="18"/>
                <w:szCs w:val="18"/>
              </w:rPr>
              <w:t>2024 Budget Line Items</w:t>
            </w:r>
          </w:p>
        </w:tc>
        <w:tc>
          <w:tcPr>
            <w:tcW w:w="2294" w:type="dxa"/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E3A7F" w14:textId="77777777" w:rsidR="00093B50" w:rsidRPr="00FB438A" w:rsidRDefault="00093B50" w:rsidP="00D66F3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B438A">
              <w:rPr>
                <w:rFonts w:ascii="Montserrat" w:hAnsi="Montserrat"/>
                <w:b/>
                <w:bCs/>
                <w:sz w:val="18"/>
                <w:szCs w:val="18"/>
              </w:rPr>
              <w:t>Brief Description of</w:t>
            </w:r>
          </w:p>
          <w:p w14:paraId="7936E48A" w14:textId="77777777" w:rsidR="00093B50" w:rsidRPr="00FB438A" w:rsidRDefault="00093B50" w:rsidP="00D66F3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B438A">
              <w:rPr>
                <w:rFonts w:ascii="Montserrat" w:hAnsi="Montserrat"/>
                <w:b/>
                <w:bCs/>
                <w:sz w:val="18"/>
                <w:szCs w:val="18"/>
              </w:rPr>
              <w:t>2024 CCEIS Activities</w:t>
            </w:r>
          </w:p>
        </w:tc>
        <w:tc>
          <w:tcPr>
            <w:tcW w:w="2548" w:type="dxa"/>
            <w:shd w:val="clear" w:color="auto" w:fill="E2EF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A6A22" w14:textId="77777777" w:rsidR="00093B50" w:rsidRPr="00FB438A" w:rsidRDefault="00093B50" w:rsidP="00D66F3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B438A">
              <w:rPr>
                <w:rFonts w:ascii="Montserrat" w:hAnsi="Montserrat"/>
                <w:b/>
                <w:bCs/>
                <w:sz w:val="18"/>
                <w:szCs w:val="18"/>
              </w:rPr>
              <w:t>Amount for each</w:t>
            </w:r>
          </w:p>
          <w:p w14:paraId="40F678B0" w14:textId="77777777" w:rsidR="00093B50" w:rsidRPr="00FB438A" w:rsidRDefault="00093B50" w:rsidP="00D66F34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B438A">
              <w:rPr>
                <w:rFonts w:ascii="Montserrat" w:hAnsi="Montserrat"/>
                <w:b/>
                <w:bCs/>
                <w:sz w:val="18"/>
                <w:szCs w:val="18"/>
              </w:rPr>
              <w:t>CCEIS Activity</w:t>
            </w:r>
          </w:p>
        </w:tc>
      </w:tr>
      <w:tr w:rsidR="00093B50" w:rsidRPr="00FB438A" w14:paraId="611F30D4" w14:textId="77777777" w:rsidTr="005303FB">
        <w:trPr>
          <w:trHeight w:val="480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DC5C9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1000–Certified Salaries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0994B8" w14:textId="0C37DDA4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B5BD8" w14:textId="632A9608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3571EC7F" w14:textId="77777777" w:rsidTr="005303FB">
        <w:trPr>
          <w:trHeight w:val="453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11A2C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2000–Classified Salaries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5C5B4" w14:textId="563E9DD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E5B50" w14:textId="73CA9A6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357DD9A2" w14:textId="77777777" w:rsidTr="005303FB">
        <w:trPr>
          <w:trHeight w:val="444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A9535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3000–Employee Benefits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B009F" w14:textId="3B3A22F6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3C308" w14:textId="3E925808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334B83D1" w14:textId="77777777" w:rsidTr="005303FB">
        <w:trPr>
          <w:trHeight w:val="534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2D985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4000–Materials and Supplies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F8999" w14:textId="405C19C0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E9AF5" w14:textId="0F47F311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3FCFB895" w14:textId="77777777" w:rsidTr="005303FB">
        <w:trPr>
          <w:trHeight w:val="498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CC875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5000–Services and Other Operating Costs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3210C" w14:textId="2854A12F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79C9A" w14:textId="56448394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60231FDB" w14:textId="77777777" w:rsidTr="005303FB">
        <w:trPr>
          <w:trHeight w:val="548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8F0B1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5100–Contract Services (ICR cannot be used for Object Code 5100)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6717E" w14:textId="51B85806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CDBA6" w14:textId="1D78ABA5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3A815C97" w14:textId="77777777" w:rsidTr="005303FB">
        <w:trPr>
          <w:trHeight w:val="480"/>
        </w:trPr>
        <w:tc>
          <w:tcPr>
            <w:tcW w:w="595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A095F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5800–Contract Services* 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6622B" w14:textId="2815B0C1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0F199" w14:textId="395D9B7A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112A67D0" w14:textId="77777777" w:rsidTr="005303FB">
        <w:trPr>
          <w:trHeight w:val="498"/>
        </w:trPr>
        <w:tc>
          <w:tcPr>
            <w:tcW w:w="8249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9D6D0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 xml:space="preserve">7300–Indirect Cost Rate (ICR) CDE-approved rate of </w:t>
            </w:r>
            <w:r w:rsidRPr="00FB43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38A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FB438A">
              <w:rPr>
                <w:rFonts w:ascii="Montserrat" w:hAnsi="Montserrat"/>
                <w:sz w:val="18"/>
                <w:szCs w:val="18"/>
              </w:rPr>
            </w:r>
            <w:r w:rsidRPr="00FB43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FB438A">
              <w:rPr>
                <w:rFonts w:ascii="Montserrat" w:hAnsi="Montserrat"/>
                <w:sz w:val="18"/>
                <w:szCs w:val="18"/>
              </w:rPr>
              <w:t> </w:t>
            </w:r>
            <w:r w:rsidRPr="00FB438A">
              <w:rPr>
                <w:rFonts w:ascii="Montserrat" w:hAnsi="Montserrat"/>
                <w:sz w:val="18"/>
                <w:szCs w:val="18"/>
              </w:rPr>
              <w:t> </w:t>
            </w:r>
            <w:r w:rsidRPr="00FB438A">
              <w:rPr>
                <w:rFonts w:ascii="Montserrat" w:hAnsi="Montserrat"/>
                <w:sz w:val="18"/>
                <w:szCs w:val="18"/>
              </w:rPr>
              <w:t> </w:t>
            </w:r>
            <w:r w:rsidRPr="00FB438A">
              <w:rPr>
                <w:rFonts w:ascii="Montserrat" w:hAnsi="Montserrat"/>
                <w:sz w:val="18"/>
                <w:szCs w:val="18"/>
              </w:rPr>
              <w:t> </w:t>
            </w:r>
            <w:r w:rsidRPr="00FB438A">
              <w:rPr>
                <w:rFonts w:ascii="Montserrat" w:hAnsi="Montserrat"/>
                <w:sz w:val="18"/>
                <w:szCs w:val="18"/>
              </w:rPr>
              <w:t> </w:t>
            </w:r>
            <w:r w:rsidRPr="00FB43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FB438A">
              <w:rPr>
                <w:rFonts w:ascii="Montserrat" w:hAnsi="Montserrat"/>
                <w:sz w:val="18"/>
                <w:szCs w:val="18"/>
              </w:rPr>
              <w:t xml:space="preserve"> percent) </w:t>
            </w: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2A7C1" w14:textId="57227C8C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  <w:tr w:rsidR="00093B50" w:rsidRPr="00FB438A" w14:paraId="4AFDD7A1" w14:textId="77777777" w:rsidTr="005303FB">
        <w:trPr>
          <w:trHeight w:val="627"/>
        </w:trPr>
        <w:tc>
          <w:tcPr>
            <w:tcW w:w="8249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D6218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Total Amount for 2024 CCEIS Activities. The amount must equal the Total 2024 CCEIS Budget as indicated on the 2024 Budget Allocation Summary. </w:t>
            </w:r>
          </w:p>
        </w:tc>
        <w:tc>
          <w:tcPr>
            <w:tcW w:w="2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08E9CB" w14:textId="70C888BB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$</w:t>
            </w:r>
          </w:p>
        </w:tc>
      </w:tr>
    </w:tbl>
    <w:p w14:paraId="07460EE3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  <w:r w:rsidRPr="00FB438A">
        <w:rPr>
          <w:rFonts w:ascii="Montserrat" w:hAnsi="Montserrat"/>
          <w:sz w:val="18"/>
          <w:szCs w:val="18"/>
        </w:rPr>
        <w:t>*Services for the same vendor are capped at $25,000 in 5800 Budget Line.  The remainder must be moved into the 5100 Budget Line.</w:t>
      </w:r>
    </w:p>
    <w:p w14:paraId="25B5D450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</w:p>
    <w:p w14:paraId="4B9EBD3B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  <w:r w:rsidRPr="00FB438A">
        <w:rPr>
          <w:rFonts w:ascii="Montserrat" w:hAnsi="Montserrat"/>
          <w:sz w:val="18"/>
          <w:szCs w:val="18"/>
        </w:rPr>
        <w:t>Signature of fiscal/business agents validate the accuracy of the information reported:</w:t>
      </w:r>
    </w:p>
    <w:p w14:paraId="23CE54CE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</w:p>
    <w:tbl>
      <w:tblPr>
        <w:tblW w:w="10797" w:type="dxa"/>
        <w:tblBorders>
          <w:top w:val="single" w:sz="2" w:space="0" w:color="3E5460"/>
          <w:left w:val="single" w:sz="2" w:space="0" w:color="3E5460"/>
          <w:bottom w:val="single" w:sz="2" w:space="0" w:color="3E5460"/>
          <w:right w:val="single" w:sz="2" w:space="0" w:color="3E5460"/>
          <w:insideH w:val="single" w:sz="2" w:space="0" w:color="3E5460"/>
          <w:insideV w:val="single" w:sz="2" w:space="0" w:color="3E54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870"/>
      </w:tblGrid>
      <w:tr w:rsidR="00093B50" w:rsidRPr="00FB438A" w14:paraId="0A1BDBCB" w14:textId="77777777" w:rsidTr="005303FB">
        <w:trPr>
          <w:trHeight w:val="692"/>
        </w:trPr>
        <w:tc>
          <w:tcPr>
            <w:tcW w:w="69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2A8B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LEA Business Fiscal Officer (Print Name &amp; Signature)</w:t>
            </w:r>
          </w:p>
          <w:p w14:paraId="11A4E9D2" w14:textId="6110EFE8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AD029" w14:textId="61D08A72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 xml:space="preserve">Date Signed: </w:t>
            </w:r>
          </w:p>
          <w:p w14:paraId="7A00C1E8" w14:textId="185C1839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 xml:space="preserve">Contact Phone: </w:t>
            </w:r>
          </w:p>
        </w:tc>
      </w:tr>
      <w:tr w:rsidR="00093B50" w:rsidRPr="00FB438A" w14:paraId="794FBF47" w14:textId="77777777" w:rsidTr="005303FB">
        <w:trPr>
          <w:trHeight w:val="692"/>
        </w:trPr>
        <w:tc>
          <w:tcPr>
            <w:tcW w:w="69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BAD9F" w14:textId="77777777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>SELPA Business Fiscal Officer (Print Name &amp; Signature)</w:t>
            </w:r>
          </w:p>
          <w:p w14:paraId="45D0936A" w14:textId="201A1043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41D80" w14:textId="34C07CBA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 xml:space="preserve">Date Signed: </w:t>
            </w:r>
          </w:p>
          <w:p w14:paraId="31DCA918" w14:textId="22EE8DBE" w:rsidR="00093B50" w:rsidRPr="00FB438A" w:rsidRDefault="00093B50" w:rsidP="00D66F34">
            <w:pPr>
              <w:rPr>
                <w:rFonts w:ascii="Montserrat" w:hAnsi="Montserrat"/>
                <w:sz w:val="18"/>
                <w:szCs w:val="18"/>
              </w:rPr>
            </w:pPr>
            <w:r w:rsidRPr="00FB438A">
              <w:rPr>
                <w:rFonts w:ascii="Montserrat" w:hAnsi="Montserrat"/>
                <w:sz w:val="18"/>
                <w:szCs w:val="18"/>
              </w:rPr>
              <w:t xml:space="preserve">Contact Phone: </w:t>
            </w:r>
          </w:p>
        </w:tc>
      </w:tr>
    </w:tbl>
    <w:p w14:paraId="036A0487" w14:textId="77777777" w:rsidR="00093B50" w:rsidRPr="00FB438A" w:rsidRDefault="00093B50" w:rsidP="00093B50">
      <w:pPr>
        <w:rPr>
          <w:rFonts w:ascii="Montserrat" w:hAnsi="Montserrat"/>
          <w:sz w:val="18"/>
          <w:szCs w:val="18"/>
        </w:rPr>
      </w:pPr>
    </w:p>
    <w:p w14:paraId="153C5ABB" w14:textId="5545AF2B" w:rsidR="00093B50" w:rsidRPr="00FB438A" w:rsidRDefault="00093B50" w:rsidP="00093B50">
      <w:pPr>
        <w:rPr>
          <w:rFonts w:ascii="Montserrat" w:hAnsi="Montserrat"/>
          <w:sz w:val="18"/>
          <w:szCs w:val="18"/>
        </w:rPr>
      </w:pPr>
      <w:r w:rsidRPr="00FB438A">
        <w:rPr>
          <w:rFonts w:ascii="Montserrat" w:hAnsi="Montserrat"/>
          <w:sz w:val="18"/>
          <w:szCs w:val="18"/>
        </w:rPr>
        <w:t xml:space="preserve">Note: This budget will be revised after actual allocations are finalized. The form for documenting revisions to the budget is a standalone document that will be available on the </w:t>
      </w:r>
      <w:hyperlink r:id="rId9" w:history="1">
        <w:r w:rsidRPr="00FB438A">
          <w:rPr>
            <w:rStyle w:val="Hyperlink"/>
            <w:rFonts w:ascii="Montserrat" w:hAnsi="Montserrat"/>
            <w:sz w:val="18"/>
            <w:szCs w:val="18"/>
          </w:rPr>
          <w:t>2024 Materials Page</w:t>
        </w:r>
      </w:hyperlink>
      <w:r w:rsidRPr="00FB438A">
        <w:rPr>
          <w:rFonts w:ascii="Montserrat" w:hAnsi="Montserrat"/>
          <w:sz w:val="18"/>
          <w:szCs w:val="18"/>
        </w:rPr>
        <w:t>.</w:t>
      </w:r>
    </w:p>
    <w:p w14:paraId="6D5DD578" w14:textId="43D34186" w:rsidR="00FB438A" w:rsidRPr="00FB438A" w:rsidRDefault="00FB438A" w:rsidP="00093B50">
      <w:pPr>
        <w:rPr>
          <w:rFonts w:ascii="Montserrat" w:hAnsi="Montserrat"/>
          <w:sz w:val="18"/>
          <w:szCs w:val="18"/>
        </w:rPr>
      </w:pPr>
    </w:p>
    <w:p w14:paraId="0E6354B8" w14:textId="77777777" w:rsidR="00FB438A" w:rsidRPr="00FB438A" w:rsidRDefault="00FB438A" w:rsidP="00FB438A">
      <w:pPr>
        <w:rPr>
          <w:rFonts w:ascii="Montserrat" w:hAnsi="Montserrat"/>
          <w:b/>
          <w:bCs/>
          <w:sz w:val="18"/>
          <w:szCs w:val="18"/>
        </w:rPr>
      </w:pPr>
      <w:r w:rsidRPr="00FB438A">
        <w:rPr>
          <w:rFonts w:ascii="Montserrat" w:hAnsi="Montserrat"/>
          <w:b/>
          <w:bCs/>
          <w:sz w:val="18"/>
          <w:szCs w:val="18"/>
        </w:rPr>
        <w:t>Due Date:  December 6, 2024</w:t>
      </w:r>
    </w:p>
    <w:p w14:paraId="13B5CBAC" w14:textId="77777777" w:rsidR="00FB438A" w:rsidRPr="00FB438A" w:rsidRDefault="00FB438A" w:rsidP="00FB438A">
      <w:pPr>
        <w:rPr>
          <w:rFonts w:ascii="Montserrat" w:hAnsi="Montserrat"/>
          <w:sz w:val="18"/>
          <w:szCs w:val="18"/>
        </w:rPr>
      </w:pPr>
    </w:p>
    <w:p w14:paraId="40533B22" w14:textId="1E588E9F" w:rsidR="00FB438A" w:rsidRPr="00FB438A" w:rsidRDefault="00FB438A" w:rsidP="00FB438A">
      <w:pPr>
        <w:rPr>
          <w:rStyle w:val="Hyperlink"/>
          <w:rFonts w:ascii="Montserrat" w:hAnsi="Montserrat" w:cs="Arial"/>
          <w:color w:val="000000" w:themeColor="text1"/>
          <w:sz w:val="18"/>
          <w:szCs w:val="18"/>
          <w:u w:val="none"/>
        </w:rPr>
      </w:pPr>
      <w:r w:rsidRPr="00FB438A">
        <w:rPr>
          <w:rFonts w:ascii="Montserrat" w:hAnsi="Montserrat"/>
          <w:sz w:val="18"/>
          <w:szCs w:val="18"/>
        </w:rPr>
        <w:t>Submit completed document</w:t>
      </w:r>
      <w:r w:rsidR="00C2181E">
        <w:rPr>
          <w:rFonts w:ascii="Montserrat" w:hAnsi="Montserrat"/>
          <w:sz w:val="18"/>
          <w:szCs w:val="18"/>
        </w:rPr>
        <w:t>, along with CIM for Plan for Improvement and the Signature Page,</w:t>
      </w:r>
      <w:r w:rsidRPr="00FB438A">
        <w:rPr>
          <w:rFonts w:ascii="Montserrat" w:hAnsi="Montserrat"/>
          <w:sz w:val="18"/>
          <w:szCs w:val="18"/>
        </w:rPr>
        <w:t xml:space="preserve"> to </w:t>
      </w:r>
      <w:hyperlink r:id="rId10" w:history="1">
        <w:r w:rsidRPr="00FB438A">
          <w:rPr>
            <w:rStyle w:val="Hyperlink"/>
            <w:rFonts w:ascii="Montserrat" w:hAnsi="Montserrat" w:cs="Arial"/>
            <w:sz w:val="18"/>
            <w:szCs w:val="18"/>
          </w:rPr>
          <w:t>sigdisp@cde.ca.gov</w:t>
        </w:r>
      </w:hyperlink>
      <w:r w:rsidRPr="00FB438A">
        <w:rPr>
          <w:rStyle w:val="Hyperlink"/>
          <w:rFonts w:ascii="Montserrat" w:hAnsi="Montserrat" w:cs="Arial"/>
          <w:sz w:val="18"/>
          <w:szCs w:val="18"/>
          <w:u w:val="none"/>
        </w:rPr>
        <w:t xml:space="preserve"> </w:t>
      </w:r>
      <w:r w:rsidRPr="00FB438A">
        <w:rPr>
          <w:rStyle w:val="Hyperlink"/>
          <w:rFonts w:ascii="Montserrat" w:hAnsi="Montserrat" w:cs="Arial"/>
          <w:i/>
          <w:iCs/>
          <w:color w:val="000000" w:themeColor="text1"/>
          <w:sz w:val="18"/>
          <w:szCs w:val="18"/>
          <w:u w:val="none"/>
        </w:rPr>
        <w:t xml:space="preserve">and </w:t>
      </w:r>
      <w:r w:rsidRPr="00FB438A">
        <w:rPr>
          <w:rStyle w:val="Hyperlink"/>
          <w:rFonts w:ascii="Montserrat" w:hAnsi="Montserrat" w:cs="Arial"/>
          <w:color w:val="000000" w:themeColor="text1"/>
          <w:sz w:val="18"/>
          <w:szCs w:val="18"/>
          <w:u w:val="none"/>
        </w:rPr>
        <w:t>your CDE Focused Monitoring and Technical Assistance Consultant.</w:t>
      </w:r>
    </w:p>
    <w:p w14:paraId="1A857EEF" w14:textId="77777777" w:rsidR="00FB438A" w:rsidRPr="00476322" w:rsidRDefault="00FB438A" w:rsidP="00093B50">
      <w:pPr>
        <w:rPr>
          <w:rFonts w:ascii="Montserrat" w:hAnsi="Montserrat"/>
          <w:sz w:val="20"/>
          <w:szCs w:val="20"/>
        </w:rPr>
      </w:pPr>
    </w:p>
    <w:p w14:paraId="6B13C206" w14:textId="77777777" w:rsidR="003449B3" w:rsidRPr="00C2181E" w:rsidRDefault="003449B3" w:rsidP="00C2181E"/>
    <w:sectPr w:rsidR="003449B3" w:rsidRPr="00C2181E" w:rsidSect="005303FB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3323" w14:textId="77777777" w:rsidR="00664F34" w:rsidRDefault="00664F34" w:rsidP="00DA09BC">
      <w:r>
        <w:separator/>
      </w:r>
    </w:p>
  </w:endnote>
  <w:endnote w:type="continuationSeparator" w:id="0">
    <w:p w14:paraId="3BE59E2F" w14:textId="77777777" w:rsidR="00664F34" w:rsidRDefault="00664F34" w:rsidP="00DA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Concept-ExtraLight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76BB" w14:textId="77777777" w:rsidR="00664F34" w:rsidRDefault="00664F34" w:rsidP="00DA09BC">
      <w:r>
        <w:separator/>
      </w:r>
    </w:p>
  </w:footnote>
  <w:footnote w:type="continuationSeparator" w:id="0">
    <w:p w14:paraId="604FB07C" w14:textId="77777777" w:rsidR="00664F34" w:rsidRDefault="00664F34" w:rsidP="00DA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F8CD" w14:textId="77777777" w:rsidR="005303FB" w:rsidRDefault="005303FB" w:rsidP="00A03D46">
    <w:pPr>
      <w:pStyle w:val="Header"/>
      <w:framePr w:wrap="none" w:vAnchor="text" w:hAnchor="margin" w:xAlign="right" w:y="1"/>
      <w:rPr>
        <w:rStyle w:val="PageNumber"/>
      </w:rPr>
    </w:pPr>
  </w:p>
  <w:p w14:paraId="55E3A36B" w14:textId="3406EBAB" w:rsidR="005303FB" w:rsidRPr="000F6A9D" w:rsidRDefault="008574E0" w:rsidP="000F6A9D">
    <w:pPr>
      <w:pStyle w:val="Header"/>
      <w:ind w:right="360"/>
      <w:jc w:val="center"/>
      <w:rPr>
        <w:b/>
        <w:bCs/>
      </w:rPr>
    </w:pPr>
    <w:r w:rsidRPr="00A5541B">
      <w:rPr>
        <w:b/>
        <w:bCs/>
        <w:noProof/>
      </w:rPr>
      <w:drawing>
        <wp:anchor distT="0" distB="0" distL="114300" distR="114300" simplePos="0" relativeHeight="251667456" behindDoc="0" locked="0" layoutInCell="1" allowOverlap="1" wp14:anchorId="2EC479AE" wp14:editId="1D3D5ADE">
          <wp:simplePos x="0" y="0"/>
          <wp:positionH relativeFrom="column">
            <wp:posOffset>5957180</wp:posOffset>
          </wp:positionH>
          <wp:positionV relativeFrom="paragraph">
            <wp:posOffset>-120839</wp:posOffset>
          </wp:positionV>
          <wp:extent cx="971550" cy="798534"/>
          <wp:effectExtent l="0" t="0" r="0" b="1905"/>
          <wp:wrapNone/>
          <wp:docPr id="1280148324" name="Picture 1280148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41B">
      <w:rPr>
        <w:b/>
        <w:bCs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2A3E3702" wp14:editId="6FC9DF75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1013460" cy="730250"/>
          <wp:effectExtent l="0" t="0" r="0" b="0"/>
          <wp:wrapNone/>
          <wp:docPr id="1956897672" name="Picture 1956897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41B">
      <w:rPr>
        <w:b/>
        <w:bCs/>
        <w:noProof/>
      </w:rPr>
      <w:drawing>
        <wp:anchor distT="0" distB="0" distL="114300" distR="114300" simplePos="0" relativeHeight="251665408" behindDoc="0" locked="0" layoutInCell="1" allowOverlap="1" wp14:anchorId="04101437" wp14:editId="7594FD64">
          <wp:simplePos x="0" y="0"/>
          <wp:positionH relativeFrom="column">
            <wp:posOffset>8155940</wp:posOffset>
          </wp:positionH>
          <wp:positionV relativeFrom="paragraph">
            <wp:posOffset>-115237</wp:posOffset>
          </wp:positionV>
          <wp:extent cx="971550" cy="798534"/>
          <wp:effectExtent l="0" t="0" r="0" b="1905"/>
          <wp:wrapNone/>
          <wp:docPr id="628703194" name="Picture 628703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FB" w:rsidRPr="00A5541B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1FD355AD" wp14:editId="61885A2F">
          <wp:simplePos x="0" y="0"/>
          <wp:positionH relativeFrom="column">
            <wp:posOffset>8162107</wp:posOffset>
          </wp:positionH>
          <wp:positionV relativeFrom="paragraph">
            <wp:posOffset>-48222</wp:posOffset>
          </wp:positionV>
          <wp:extent cx="971550" cy="798534"/>
          <wp:effectExtent l="0" t="0" r="0" b="1905"/>
          <wp:wrapNone/>
          <wp:docPr id="1998596343" name="Picture 1998596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FB" w:rsidRPr="003449B3">
      <w:rPr>
        <w:rFonts w:ascii="Montserrat" w:hAnsi="Montserrat" w:cs="Arial"/>
        <w:sz w:val="20"/>
        <w:szCs w:val="20"/>
      </w:rPr>
      <w:t xml:space="preserve">2024 Compliance and Improvement </w:t>
    </w:r>
  </w:p>
  <w:p w14:paraId="19011CA3" w14:textId="619A6D97" w:rsidR="005303FB" w:rsidRPr="003449B3" w:rsidRDefault="005303FB" w:rsidP="000F6A9D">
    <w:pPr>
      <w:pStyle w:val="Title"/>
      <w:jc w:val="center"/>
      <w:rPr>
        <w:rFonts w:ascii="Montserrat" w:hAnsi="Montserrat" w:cs="Arial"/>
        <w:sz w:val="20"/>
        <w:szCs w:val="20"/>
      </w:rPr>
    </w:pPr>
    <w:r w:rsidRPr="003449B3">
      <w:rPr>
        <w:rFonts w:ascii="Montserrat" w:hAnsi="Montserrat" w:cs="Arial"/>
        <w:sz w:val="20"/>
        <w:szCs w:val="20"/>
      </w:rPr>
      <w:t>Monitoring for Significant Disproportionality</w:t>
    </w:r>
    <w:r>
      <w:rPr>
        <w:rFonts w:ascii="Montserrat" w:hAnsi="Montserrat" w:cs="Arial"/>
        <w:sz w:val="20"/>
        <w:szCs w:val="20"/>
      </w:rPr>
      <w:t xml:space="preserve"> (CIM for Sig Dis)</w:t>
    </w:r>
  </w:p>
  <w:p w14:paraId="5AB447BE" w14:textId="4A9E3FEB" w:rsidR="005303FB" w:rsidRPr="003449B3" w:rsidRDefault="005303FB" w:rsidP="00637FBE">
    <w:pPr>
      <w:pStyle w:val="Title"/>
      <w:jc w:val="center"/>
      <w:rPr>
        <w:rFonts w:ascii="Montserrat" w:hAnsi="Montserrat" w:cs="Arial"/>
        <w:sz w:val="20"/>
        <w:szCs w:val="20"/>
      </w:rPr>
    </w:pPr>
    <w:r w:rsidRPr="003449B3">
      <w:rPr>
        <w:rFonts w:ascii="Montserrat" w:hAnsi="Montserrat" w:cs="Arial"/>
        <w:sz w:val="20"/>
        <w:szCs w:val="20"/>
      </w:rPr>
      <w:t>Step 3: Plan for Improvement</w:t>
    </w:r>
  </w:p>
  <w:p w14:paraId="51313C82" w14:textId="46511769" w:rsidR="005303FB" w:rsidRDefault="008574E0" w:rsidP="008574E0">
    <w:pPr>
      <w:pStyle w:val="Title"/>
      <w:tabs>
        <w:tab w:val="center" w:pos="5400"/>
        <w:tab w:val="left" w:pos="9396"/>
      </w:tabs>
      <w:rPr>
        <w:rFonts w:ascii="Montserrat" w:hAnsi="Montserrat" w:cs="Arial"/>
        <w:sz w:val="20"/>
        <w:szCs w:val="20"/>
      </w:rPr>
    </w:pPr>
    <w:r>
      <w:rPr>
        <w:rFonts w:ascii="Montserrat" w:hAnsi="Montserrat" w:cs="Arial"/>
        <w:sz w:val="20"/>
        <w:szCs w:val="20"/>
      </w:rPr>
      <w:tab/>
    </w:r>
    <w:r w:rsidR="005303FB" w:rsidRPr="003449B3">
      <w:rPr>
        <w:rFonts w:ascii="Montserrat" w:hAnsi="Montserrat" w:cs="Arial"/>
        <w:sz w:val="20"/>
        <w:szCs w:val="20"/>
      </w:rPr>
      <w:t>California Department of Education – Special Education Division</w:t>
    </w:r>
    <w:r>
      <w:rPr>
        <w:rFonts w:ascii="Montserrat" w:hAnsi="Montserrat" w:cs="Arial"/>
        <w:sz w:val="20"/>
        <w:szCs w:val="20"/>
      </w:rPr>
      <w:tab/>
    </w:r>
  </w:p>
  <w:p w14:paraId="68EB240F" w14:textId="77777777" w:rsidR="005303FB" w:rsidRPr="000F6A9D" w:rsidRDefault="005303FB" w:rsidP="000F6A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E1E"/>
    <w:multiLevelType w:val="hybridMultilevel"/>
    <w:tmpl w:val="F9B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CE5"/>
    <w:multiLevelType w:val="hybridMultilevel"/>
    <w:tmpl w:val="0CF8D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53D29"/>
    <w:multiLevelType w:val="hybridMultilevel"/>
    <w:tmpl w:val="3BE8B818"/>
    <w:lvl w:ilvl="0" w:tplc="15608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55F1"/>
    <w:multiLevelType w:val="hybridMultilevel"/>
    <w:tmpl w:val="9D7C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200B"/>
    <w:multiLevelType w:val="hybridMultilevel"/>
    <w:tmpl w:val="3BE8B818"/>
    <w:lvl w:ilvl="0" w:tplc="15608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4410E"/>
    <w:multiLevelType w:val="hybridMultilevel"/>
    <w:tmpl w:val="06D6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12033">
    <w:abstractNumId w:val="4"/>
  </w:num>
  <w:num w:numId="2" w16cid:durableId="1523743112">
    <w:abstractNumId w:val="3"/>
  </w:num>
  <w:num w:numId="3" w16cid:durableId="1098597721">
    <w:abstractNumId w:val="5"/>
  </w:num>
  <w:num w:numId="4" w16cid:durableId="1577277872">
    <w:abstractNumId w:val="0"/>
  </w:num>
  <w:num w:numId="5" w16cid:durableId="1039665084">
    <w:abstractNumId w:val="1"/>
  </w:num>
  <w:num w:numId="6" w16cid:durableId="73898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B"/>
    <w:rsid w:val="00002929"/>
    <w:rsid w:val="00002F78"/>
    <w:rsid w:val="000067EC"/>
    <w:rsid w:val="0006288D"/>
    <w:rsid w:val="000808A8"/>
    <w:rsid w:val="00093B50"/>
    <w:rsid w:val="000B2899"/>
    <w:rsid w:val="000C5127"/>
    <w:rsid w:val="000C6B88"/>
    <w:rsid w:val="000D6D8A"/>
    <w:rsid w:val="000E30A3"/>
    <w:rsid w:val="000F543A"/>
    <w:rsid w:val="000F6A9D"/>
    <w:rsid w:val="001040E2"/>
    <w:rsid w:val="00104AA4"/>
    <w:rsid w:val="00111630"/>
    <w:rsid w:val="001359A2"/>
    <w:rsid w:val="00164079"/>
    <w:rsid w:val="0017085B"/>
    <w:rsid w:val="00180D96"/>
    <w:rsid w:val="001817F8"/>
    <w:rsid w:val="001914BD"/>
    <w:rsid w:val="0019749B"/>
    <w:rsid w:val="001A2E0A"/>
    <w:rsid w:val="001A6C1F"/>
    <w:rsid w:val="001D2CE6"/>
    <w:rsid w:val="001F120F"/>
    <w:rsid w:val="001F209B"/>
    <w:rsid w:val="00210D9A"/>
    <w:rsid w:val="00214BE3"/>
    <w:rsid w:val="00225975"/>
    <w:rsid w:val="00225E95"/>
    <w:rsid w:val="00227E9C"/>
    <w:rsid w:val="0023444C"/>
    <w:rsid w:val="00240351"/>
    <w:rsid w:val="002457F5"/>
    <w:rsid w:val="002647B4"/>
    <w:rsid w:val="00264AB0"/>
    <w:rsid w:val="00271F4C"/>
    <w:rsid w:val="00277454"/>
    <w:rsid w:val="00292E77"/>
    <w:rsid w:val="002938AF"/>
    <w:rsid w:val="00293B3C"/>
    <w:rsid w:val="00293EE0"/>
    <w:rsid w:val="00294124"/>
    <w:rsid w:val="002A56CE"/>
    <w:rsid w:val="002C761F"/>
    <w:rsid w:val="002D436F"/>
    <w:rsid w:val="002D6E70"/>
    <w:rsid w:val="002E460B"/>
    <w:rsid w:val="002F04B2"/>
    <w:rsid w:val="0030462E"/>
    <w:rsid w:val="00307D44"/>
    <w:rsid w:val="00320B6B"/>
    <w:rsid w:val="00326349"/>
    <w:rsid w:val="003449B3"/>
    <w:rsid w:val="00357748"/>
    <w:rsid w:val="00371DB9"/>
    <w:rsid w:val="00382437"/>
    <w:rsid w:val="00391511"/>
    <w:rsid w:val="0039555F"/>
    <w:rsid w:val="003A70BB"/>
    <w:rsid w:val="003C3DE0"/>
    <w:rsid w:val="003C4006"/>
    <w:rsid w:val="003C6788"/>
    <w:rsid w:val="003E77BC"/>
    <w:rsid w:val="004044D1"/>
    <w:rsid w:val="00415B4F"/>
    <w:rsid w:val="00420200"/>
    <w:rsid w:val="0042240F"/>
    <w:rsid w:val="004631F7"/>
    <w:rsid w:val="00476322"/>
    <w:rsid w:val="00476FC9"/>
    <w:rsid w:val="00481C44"/>
    <w:rsid w:val="00485B17"/>
    <w:rsid w:val="004D153A"/>
    <w:rsid w:val="004D2BA2"/>
    <w:rsid w:val="004F5264"/>
    <w:rsid w:val="004F76D2"/>
    <w:rsid w:val="005303FB"/>
    <w:rsid w:val="0053637F"/>
    <w:rsid w:val="00545882"/>
    <w:rsid w:val="005672C0"/>
    <w:rsid w:val="005A2A64"/>
    <w:rsid w:val="005A7400"/>
    <w:rsid w:val="005B1CC2"/>
    <w:rsid w:val="005C06E3"/>
    <w:rsid w:val="005E09A1"/>
    <w:rsid w:val="005E4AE4"/>
    <w:rsid w:val="005F3109"/>
    <w:rsid w:val="005F6FCB"/>
    <w:rsid w:val="00636FAE"/>
    <w:rsid w:val="00637FBE"/>
    <w:rsid w:val="00641680"/>
    <w:rsid w:val="00651951"/>
    <w:rsid w:val="00664F34"/>
    <w:rsid w:val="0067072E"/>
    <w:rsid w:val="006851C8"/>
    <w:rsid w:val="00687AE3"/>
    <w:rsid w:val="00712A29"/>
    <w:rsid w:val="0072548C"/>
    <w:rsid w:val="0073064A"/>
    <w:rsid w:val="007317A8"/>
    <w:rsid w:val="0074750E"/>
    <w:rsid w:val="00764A04"/>
    <w:rsid w:val="00765D36"/>
    <w:rsid w:val="00775D4A"/>
    <w:rsid w:val="0078718E"/>
    <w:rsid w:val="00793D67"/>
    <w:rsid w:val="007C1517"/>
    <w:rsid w:val="007C5397"/>
    <w:rsid w:val="007D6276"/>
    <w:rsid w:val="008207D1"/>
    <w:rsid w:val="0083345C"/>
    <w:rsid w:val="00841E9F"/>
    <w:rsid w:val="00852B7C"/>
    <w:rsid w:val="008574E0"/>
    <w:rsid w:val="00886D78"/>
    <w:rsid w:val="00894763"/>
    <w:rsid w:val="00897A41"/>
    <w:rsid w:val="008A3537"/>
    <w:rsid w:val="008B148B"/>
    <w:rsid w:val="008B1909"/>
    <w:rsid w:val="008B3BD1"/>
    <w:rsid w:val="008C389C"/>
    <w:rsid w:val="008D16A4"/>
    <w:rsid w:val="008D4DBA"/>
    <w:rsid w:val="008E3EB1"/>
    <w:rsid w:val="008E675E"/>
    <w:rsid w:val="00900D2A"/>
    <w:rsid w:val="00903CD4"/>
    <w:rsid w:val="009134D8"/>
    <w:rsid w:val="00921B08"/>
    <w:rsid w:val="00951599"/>
    <w:rsid w:val="00994858"/>
    <w:rsid w:val="009B34A2"/>
    <w:rsid w:val="009D508A"/>
    <w:rsid w:val="009D5256"/>
    <w:rsid w:val="00A05E45"/>
    <w:rsid w:val="00A43936"/>
    <w:rsid w:val="00A53C97"/>
    <w:rsid w:val="00A5541B"/>
    <w:rsid w:val="00A84B8B"/>
    <w:rsid w:val="00AE6030"/>
    <w:rsid w:val="00B5652C"/>
    <w:rsid w:val="00B653D8"/>
    <w:rsid w:val="00B845E0"/>
    <w:rsid w:val="00B85C25"/>
    <w:rsid w:val="00BE090E"/>
    <w:rsid w:val="00BE2154"/>
    <w:rsid w:val="00BE23BB"/>
    <w:rsid w:val="00C06A8A"/>
    <w:rsid w:val="00C07F74"/>
    <w:rsid w:val="00C2181E"/>
    <w:rsid w:val="00C476A1"/>
    <w:rsid w:val="00C57928"/>
    <w:rsid w:val="00C76265"/>
    <w:rsid w:val="00C772DD"/>
    <w:rsid w:val="00C805F2"/>
    <w:rsid w:val="00C860D0"/>
    <w:rsid w:val="00CA326C"/>
    <w:rsid w:val="00CB0D01"/>
    <w:rsid w:val="00CB21A2"/>
    <w:rsid w:val="00CB7780"/>
    <w:rsid w:val="00CD220B"/>
    <w:rsid w:val="00CE45E7"/>
    <w:rsid w:val="00CE54F9"/>
    <w:rsid w:val="00D05EE6"/>
    <w:rsid w:val="00D10B29"/>
    <w:rsid w:val="00D16D86"/>
    <w:rsid w:val="00D6066F"/>
    <w:rsid w:val="00D6560B"/>
    <w:rsid w:val="00D65C90"/>
    <w:rsid w:val="00D71755"/>
    <w:rsid w:val="00D766C8"/>
    <w:rsid w:val="00D97AEE"/>
    <w:rsid w:val="00DA09BC"/>
    <w:rsid w:val="00DC4EC4"/>
    <w:rsid w:val="00DD0660"/>
    <w:rsid w:val="00E03422"/>
    <w:rsid w:val="00E17422"/>
    <w:rsid w:val="00E27C5D"/>
    <w:rsid w:val="00E52847"/>
    <w:rsid w:val="00E66B07"/>
    <w:rsid w:val="00E94A37"/>
    <w:rsid w:val="00E97183"/>
    <w:rsid w:val="00EA0CF3"/>
    <w:rsid w:val="00EB2CB8"/>
    <w:rsid w:val="00EB5361"/>
    <w:rsid w:val="00F156EA"/>
    <w:rsid w:val="00F17C9C"/>
    <w:rsid w:val="00F30443"/>
    <w:rsid w:val="00F827D7"/>
    <w:rsid w:val="00F94271"/>
    <w:rsid w:val="00F94873"/>
    <w:rsid w:val="00FA027F"/>
    <w:rsid w:val="00FB438A"/>
    <w:rsid w:val="00FD0B05"/>
    <w:rsid w:val="00FE14DD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03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E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A64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60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A0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9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9B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A2A64"/>
    <w:rPr>
      <w:rFonts w:ascii="Arial" w:eastAsiaTheme="majorEastAsia" w:hAnsi="Arial" w:cstheme="majorBidi"/>
      <w:b/>
      <w:sz w:val="36"/>
      <w:szCs w:val="32"/>
    </w:rPr>
  </w:style>
  <w:style w:type="paragraph" w:styleId="ListParagraph">
    <w:name w:val="List Paragraph"/>
    <w:basedOn w:val="Normal"/>
    <w:uiPriority w:val="1"/>
    <w:qFormat/>
    <w:rsid w:val="005A2A64"/>
    <w:pPr>
      <w:spacing w:after="240"/>
      <w:ind w:left="720"/>
      <w:contextualSpacing/>
    </w:pPr>
    <w:rPr>
      <w:rFonts w:ascii="Arial" w:eastAsiaTheme="minorHAnsi" w:hAnsi="Arial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93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8AF"/>
    <w:rPr>
      <w:rFonts w:asciiTheme="majorHAnsi" w:eastAsiaTheme="majorEastAsia" w:hAnsiTheme="majorHAnsi" w:cstheme="majorBidi"/>
      <w:color w:val="1F3763" w:themeColor="accent1" w:themeShade="7F"/>
    </w:rPr>
  </w:style>
  <w:style w:type="table" w:styleId="GridTable4">
    <w:name w:val="Grid Table 4"/>
    <w:basedOn w:val="TableNormal"/>
    <w:uiPriority w:val="49"/>
    <w:rsid w:val="00DC4EC4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DC4EC4"/>
    <w:rPr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14B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67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2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2C0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C0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3D67"/>
    <w:rPr>
      <w:rFonts w:eastAsiaTheme="minorEastAsia"/>
    </w:rPr>
  </w:style>
  <w:style w:type="paragraph" w:customStyle="1" w:styleId="H1">
    <w:name w:val="H1"/>
    <w:basedOn w:val="Normal"/>
    <w:uiPriority w:val="99"/>
    <w:rsid w:val="00093B50"/>
    <w:pPr>
      <w:suppressAutoHyphens/>
      <w:autoSpaceDE w:val="0"/>
      <w:autoSpaceDN w:val="0"/>
      <w:adjustRightInd w:val="0"/>
      <w:spacing w:before="120" w:after="107" w:line="800" w:lineRule="atLeast"/>
      <w:textAlignment w:val="center"/>
    </w:pPr>
    <w:rPr>
      <w:rFonts w:ascii="AcuminConcept-ExtraLight" w:eastAsia="Franklin Gothic Book" w:hAnsi="AcuminConcept-ExtraLight" w:cs="AcuminConcept-ExtraLight"/>
      <w:bCs/>
      <w:color w:val="FFFFFF"/>
      <w:sz w:val="86"/>
      <w:szCs w:val="86"/>
    </w:rPr>
  </w:style>
  <w:style w:type="character" w:styleId="Hyperlink">
    <w:name w:val="Hyperlink"/>
    <w:rsid w:val="00093B5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17C9C"/>
  </w:style>
  <w:style w:type="character" w:styleId="FollowedHyperlink">
    <w:name w:val="FollowedHyperlink"/>
    <w:basedOn w:val="DefaultParagraphFont"/>
    <w:uiPriority w:val="99"/>
    <w:semiHidden/>
    <w:unhideWhenUsed/>
    <w:rsid w:val="00857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files/significant-disproportionality-qa-03-08-17-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gdisp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ptap.org/2024-cceis-materia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2A0F-53A0-4751-B5D2-90C4CBE2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2024-09-17T01:44:00Z</dcterms:created>
  <dcterms:modified xsi:type="dcterms:W3CDTF">2024-09-17T01:44:00Z</dcterms:modified>
</cp:coreProperties>
</file>